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6A" w:rsidRPr="003C4993" w:rsidRDefault="0070016A" w:rsidP="0070016A">
      <w:pPr>
        <w:spacing w:before="200" w:after="100" w:line="240" w:lineRule="auto"/>
        <w:ind w:left="105" w:right="105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eastAsia="es-AR"/>
        </w:rPr>
      </w:pPr>
      <w:r w:rsidRPr="003C4993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eastAsia="es-AR"/>
        </w:rPr>
        <w:t>RG AFIP 4290/2018</w:t>
      </w:r>
    </w:p>
    <w:p w:rsidR="0070016A" w:rsidRPr="0070016A" w:rsidRDefault="0070016A" w:rsidP="0070016A">
      <w:pPr>
        <w:spacing w:before="200" w:after="100" w:line="240" w:lineRule="auto"/>
        <w:ind w:left="105" w:right="105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</w:pPr>
      <w:r w:rsidRPr="0070016A"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  <w:t>RESUELVE:</w:t>
      </w:r>
    </w:p>
    <w:p w:rsidR="0070016A" w:rsidRPr="0070016A" w:rsidRDefault="0070016A" w:rsidP="0070016A">
      <w:pPr>
        <w:spacing w:before="240" w:after="100" w:line="240" w:lineRule="auto"/>
        <w:ind w:left="105" w:right="105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AR"/>
        </w:rPr>
      </w:pPr>
      <w:r w:rsidRPr="0070016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AR"/>
        </w:rPr>
        <w:t>TÍTULO I</w:t>
      </w:r>
    </w:p>
    <w:p w:rsidR="0070016A" w:rsidRPr="0070016A" w:rsidRDefault="0070016A" w:rsidP="0070016A">
      <w:pPr>
        <w:spacing w:before="240" w:after="100" w:line="240" w:lineRule="auto"/>
        <w:ind w:left="105" w:right="105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AR"/>
        </w:rPr>
      </w:pPr>
      <w:r w:rsidRPr="0070016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AR"/>
        </w:rPr>
        <w:t>EMISIÓN DE COMPROBANTES</w:t>
      </w:r>
    </w:p>
    <w:p w:rsidR="0070016A" w:rsidRPr="0070016A" w:rsidRDefault="0070016A" w:rsidP="0070016A">
      <w:pPr>
        <w:spacing w:before="240" w:after="100" w:line="240" w:lineRule="auto"/>
        <w:ind w:left="105" w:right="105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AR"/>
        </w:rPr>
      </w:pPr>
      <w:r w:rsidRPr="0070016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AR"/>
        </w:rPr>
        <w:t>A - ALCANCE</w:t>
      </w:r>
    </w:p>
    <w:p w:rsidR="0070016A" w:rsidRPr="0070016A" w:rsidRDefault="0070016A" w:rsidP="0070016A">
      <w:pPr>
        <w:spacing w:before="80" w:after="0" w:line="240" w:lineRule="auto"/>
        <w:ind w:left="105" w:right="105" w:firstLine="10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</w:pPr>
      <w:bookmarkStart w:id="0" w:name="ART_1"/>
      <w:bookmarkEnd w:id="0"/>
      <w:r w:rsidRPr="0070016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AR"/>
        </w:rPr>
        <w:t>Art. 1 -</w:t>
      </w:r>
      <w:r w:rsidRPr="0070016A"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  <w:t> A los fines de respaldar las operaciones de compraventa de cosas muebles, locaciones y prestaciones de servicios, locaciones de cosas y obras y las señas o anticipos que congelen el precio, los sujetos indicados en el artículo 2, deberán emitir los comprobantes detallados en el artículo 3, de acuerdo con las siguientes modalidades:</w:t>
      </w:r>
    </w:p>
    <w:p w:rsidR="0070016A" w:rsidRPr="0070016A" w:rsidRDefault="0070016A" w:rsidP="0070016A">
      <w:pPr>
        <w:spacing w:before="80" w:after="0" w:line="240" w:lineRule="auto"/>
        <w:ind w:left="270" w:right="10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</w:pPr>
      <w:r w:rsidRPr="0070016A"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  <w:t>a) Régimen de emisión de comprobantes mediante la utilización de “Controladores Fiscales”, establecido por la </w:t>
      </w:r>
      <w:hyperlink r:id="rId5" w:tgtFrame="_blank" w:history="1">
        <w:r w:rsidRPr="0070016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s-AR"/>
          </w:rPr>
          <w:t>resolución general 3561</w:t>
        </w:r>
      </w:hyperlink>
      <w:r w:rsidRPr="0070016A"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  <w:t>, sus modificatorias y complementarias.</w:t>
      </w:r>
    </w:p>
    <w:p w:rsidR="0070016A" w:rsidRPr="0070016A" w:rsidRDefault="0070016A" w:rsidP="0070016A">
      <w:pPr>
        <w:spacing w:before="80" w:after="0" w:line="240" w:lineRule="auto"/>
        <w:ind w:left="270" w:right="10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</w:pPr>
      <w:r w:rsidRPr="0070016A"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  <w:t>b) Régimen de emisión y almacenamiento electrónico de comprobantes originales, establecido por la </w:t>
      </w:r>
      <w:hyperlink r:id="rId6" w:tgtFrame="_blank" w:history="1">
        <w:r w:rsidRPr="0070016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s-AR"/>
          </w:rPr>
          <w:t>resolución general 4291</w:t>
        </w:r>
      </w:hyperlink>
      <w:r w:rsidRPr="0070016A"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  <w:t>.</w:t>
      </w:r>
    </w:p>
    <w:p w:rsidR="0070016A" w:rsidRPr="0070016A" w:rsidRDefault="0070016A" w:rsidP="0070016A">
      <w:pPr>
        <w:spacing w:before="80" w:after="0" w:line="240" w:lineRule="auto"/>
        <w:ind w:left="270" w:right="10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</w:pPr>
      <w:r w:rsidRPr="0070016A"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  <w:t>c) Régimen de autorización de emisión de comprobantes establecido por la </w:t>
      </w:r>
      <w:hyperlink r:id="rId7" w:tgtFrame="_blank" w:history="1">
        <w:r w:rsidRPr="0070016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s-AR"/>
          </w:rPr>
          <w:t>resolución general 100</w:t>
        </w:r>
      </w:hyperlink>
      <w:r w:rsidRPr="0070016A"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  <w:t>, sus modificatorias y complementarias.</w:t>
      </w:r>
    </w:p>
    <w:p w:rsidR="0070016A" w:rsidRPr="0070016A" w:rsidRDefault="0070016A" w:rsidP="0070016A">
      <w:pPr>
        <w:spacing w:before="240" w:after="100" w:line="240" w:lineRule="auto"/>
        <w:ind w:left="105" w:right="105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AR"/>
        </w:rPr>
      </w:pPr>
      <w:r w:rsidRPr="0070016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AR"/>
        </w:rPr>
        <w:t>B - SUJETOS COMPRENDIDOS</w:t>
      </w:r>
    </w:p>
    <w:p w:rsidR="0070016A" w:rsidRPr="0070016A" w:rsidRDefault="0070016A" w:rsidP="0070016A">
      <w:pPr>
        <w:spacing w:before="80" w:after="0" w:line="240" w:lineRule="auto"/>
        <w:ind w:left="105" w:right="105" w:firstLine="10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</w:pPr>
      <w:bookmarkStart w:id="1" w:name="ART_2"/>
      <w:bookmarkEnd w:id="1"/>
      <w:r w:rsidRPr="0070016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AR"/>
        </w:rPr>
        <w:t>Art. 2 -</w:t>
      </w:r>
      <w:r w:rsidRPr="0070016A"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  <w:t> Se encuentran comprendidos en esta resolución general los sujetos que se indican a continuación:</w:t>
      </w:r>
    </w:p>
    <w:p w:rsidR="0070016A" w:rsidRPr="0070016A" w:rsidRDefault="0070016A" w:rsidP="0070016A">
      <w:pPr>
        <w:spacing w:before="80" w:after="0" w:line="240" w:lineRule="auto"/>
        <w:ind w:left="270" w:right="10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</w:pPr>
      <w:r w:rsidRPr="0070016A"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  <w:t>a) Responsables inscriptos en el impuesto al valor agregado.</w:t>
      </w:r>
    </w:p>
    <w:p w:rsidR="0070016A" w:rsidRPr="0070016A" w:rsidRDefault="0070016A" w:rsidP="0070016A">
      <w:pPr>
        <w:spacing w:before="80" w:after="0" w:line="240" w:lineRule="auto"/>
        <w:ind w:left="270" w:right="10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</w:pPr>
      <w:r w:rsidRPr="0070016A"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  <w:t>b) Adheridos al Régimen Simplificado para Pequeños Contribuyentes (RS)</w:t>
      </w:r>
    </w:p>
    <w:p w:rsidR="0070016A" w:rsidRPr="0070016A" w:rsidRDefault="0070016A" w:rsidP="0070016A">
      <w:pPr>
        <w:spacing w:before="80" w:after="0" w:line="240" w:lineRule="auto"/>
        <w:ind w:left="270" w:right="10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</w:pPr>
      <w:r w:rsidRPr="0070016A"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  <w:t>c) Exentos en el impuesto al valor agregado.</w:t>
      </w:r>
    </w:p>
    <w:p w:rsidR="0070016A" w:rsidRPr="0070016A" w:rsidRDefault="0070016A" w:rsidP="0070016A">
      <w:pPr>
        <w:spacing w:before="80" w:after="0" w:line="240" w:lineRule="auto"/>
        <w:ind w:left="270" w:right="10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</w:pPr>
      <w:r w:rsidRPr="0070016A"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  <w:t>d) Sujetos no alcanzados por el impuesto al valor agregado.</w:t>
      </w:r>
    </w:p>
    <w:p w:rsidR="00BA3532" w:rsidRPr="003C4993" w:rsidRDefault="00BA3532" w:rsidP="00BA3532">
      <w:pPr>
        <w:pStyle w:val="textocentradonegritanovedades"/>
        <w:spacing w:before="240" w:beforeAutospacing="0" w:afterAutospacing="0"/>
        <w:ind w:left="105" w:right="105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3C4993">
        <w:rPr>
          <w:rFonts w:ascii="Verdana" w:hAnsi="Verdana"/>
          <w:b/>
          <w:bCs/>
          <w:color w:val="000000"/>
          <w:sz w:val="20"/>
          <w:szCs w:val="20"/>
        </w:rPr>
        <w:t xml:space="preserve">D - </w:t>
      </w:r>
      <w:r w:rsidRPr="003C4993">
        <w:rPr>
          <w:rFonts w:ascii="Verdana" w:hAnsi="Verdana"/>
          <w:b/>
          <w:bCs/>
          <w:i/>
          <w:iCs/>
          <w:color w:val="000000"/>
          <w:sz w:val="20"/>
          <w:szCs w:val="20"/>
        </w:rPr>
        <w:t>EXCEPCIONES</w:t>
      </w:r>
    </w:p>
    <w:p w:rsidR="00BA3532" w:rsidRPr="003C4993" w:rsidRDefault="00BA3532" w:rsidP="00BA3532">
      <w:pPr>
        <w:pStyle w:val="sangrianovedades"/>
        <w:spacing w:before="80" w:beforeAutospacing="0" w:after="0" w:afterAutospacing="0"/>
        <w:ind w:left="105" w:right="105" w:firstLine="105"/>
        <w:jc w:val="both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bookmarkStart w:id="2" w:name="ART_4"/>
      <w:bookmarkEnd w:id="2"/>
      <w:r w:rsidRPr="003C4993">
        <w:rPr>
          <w:rStyle w:val="negritanovedades"/>
          <w:rFonts w:ascii="Verdana" w:hAnsi="Verdana"/>
          <w:b/>
          <w:bCs/>
          <w:color w:val="000000"/>
          <w:sz w:val="20"/>
          <w:szCs w:val="20"/>
        </w:rPr>
        <w:t>Art. 4 -</w:t>
      </w:r>
      <w:r w:rsidRPr="003C4993">
        <w:rPr>
          <w:rFonts w:ascii="Verdana" w:hAnsi="Verdana"/>
          <w:b/>
          <w:bCs/>
          <w:color w:val="000000"/>
          <w:sz w:val="20"/>
          <w:szCs w:val="20"/>
        </w:rPr>
        <w:t> </w:t>
      </w:r>
      <w:r w:rsidRPr="003C4993">
        <w:rPr>
          <w:rFonts w:ascii="Verdana" w:hAnsi="Verdana"/>
          <w:b/>
          <w:bCs/>
          <w:i/>
          <w:iCs/>
          <w:color w:val="000000"/>
          <w:sz w:val="20"/>
          <w:szCs w:val="20"/>
        </w:rPr>
        <w:t>Aquellos sujetos que por la actividad que desarrollan emiten comprobantes específicos definidos y/o establecidos por una norma reglamentaria particular deberán observar lo dispuesto en la misma para dichas actividades u operaciones.</w:t>
      </w:r>
    </w:p>
    <w:p w:rsidR="00BA3532" w:rsidRPr="003C4993" w:rsidRDefault="00BA3532" w:rsidP="00BA3532">
      <w:pPr>
        <w:pStyle w:val="sangrianovedades"/>
        <w:spacing w:before="80" w:beforeAutospacing="0" w:after="0" w:afterAutospacing="0"/>
        <w:ind w:left="105" w:right="105" w:firstLine="105"/>
        <w:jc w:val="both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r w:rsidRPr="003C4993">
        <w:rPr>
          <w:rFonts w:ascii="Verdana" w:hAnsi="Verdana"/>
          <w:b/>
          <w:bCs/>
          <w:i/>
          <w:iCs/>
          <w:color w:val="000000"/>
          <w:sz w:val="20"/>
          <w:szCs w:val="20"/>
        </w:rPr>
        <w:t>Por su parte, cuando a través de una norma particular se determine dentro de la modalidad de facturación electrónica un régimen especial para la emisión y almacenamiento electrónico de comprobantes originales a fin de respaldar las operaciones, deberá observarse esa norma específica según el alcance que la misma prevea.</w:t>
      </w:r>
    </w:p>
    <w:p w:rsidR="00BA3532" w:rsidRPr="003C4993" w:rsidRDefault="00BA3532" w:rsidP="00BA3532">
      <w:pPr>
        <w:pStyle w:val="sangrianovedades"/>
        <w:spacing w:before="80" w:beforeAutospacing="0" w:after="0" w:afterAutospacing="0"/>
        <w:ind w:left="105" w:right="105" w:firstLine="105"/>
        <w:jc w:val="both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bookmarkStart w:id="3" w:name="ART_5"/>
      <w:bookmarkEnd w:id="3"/>
      <w:r w:rsidRPr="003C4993">
        <w:rPr>
          <w:rStyle w:val="negritanovedades"/>
          <w:rFonts w:ascii="Verdana" w:hAnsi="Verdana"/>
          <w:b/>
          <w:bCs/>
          <w:i/>
          <w:iCs/>
          <w:color w:val="000000"/>
          <w:sz w:val="20"/>
          <w:szCs w:val="20"/>
        </w:rPr>
        <w:t>Art. 5 -</w:t>
      </w:r>
      <w:r w:rsidRPr="003C4993">
        <w:rPr>
          <w:rFonts w:ascii="Verdana" w:hAnsi="Verdana"/>
          <w:b/>
          <w:bCs/>
          <w:i/>
          <w:iCs/>
          <w:color w:val="000000"/>
          <w:sz w:val="20"/>
          <w:szCs w:val="20"/>
        </w:rPr>
        <w:t> Están exceptuados de los alcances de esta resolución general:</w:t>
      </w:r>
    </w:p>
    <w:p w:rsidR="00125BED" w:rsidRPr="003C4993" w:rsidRDefault="00BA3532" w:rsidP="00125BED">
      <w:pPr>
        <w:pStyle w:val="textonovedades"/>
        <w:spacing w:before="120" w:beforeAutospacing="0" w:after="105" w:afterAutospacing="0"/>
        <w:ind w:left="105" w:right="105"/>
        <w:jc w:val="both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r w:rsidRPr="003C4993">
        <w:rPr>
          <w:rFonts w:ascii="Verdana" w:hAnsi="Verdana"/>
          <w:b/>
          <w:bCs/>
          <w:i/>
          <w:iCs/>
          <w:color w:val="000000"/>
          <w:sz w:val="20"/>
          <w:szCs w:val="20"/>
        </w:rPr>
        <w:t>Los comprobantes emitidos por aquellos sujetos que realicen operaciones que requieren un tratamiento especial en la emisión de comprobantes, según lo dispuesto en el </w:t>
      </w:r>
      <w:r w:rsidRPr="003C4993">
        <w:rPr>
          <w:rStyle w:val="hipervnculo"/>
          <w:rFonts w:ascii="Verdana" w:hAnsi="Verdana"/>
          <w:b/>
          <w:bCs/>
          <w:i/>
          <w:iCs/>
          <w:color w:val="0000FF"/>
          <w:sz w:val="20"/>
          <w:szCs w:val="20"/>
          <w:u w:val="single"/>
        </w:rPr>
        <w:t>Anexo IV de la resolución general 141</w:t>
      </w:r>
      <w:r w:rsidR="00E7011B">
        <w:rPr>
          <w:rStyle w:val="hipervnculo"/>
          <w:rFonts w:ascii="Verdana" w:hAnsi="Verdana"/>
          <w:b/>
          <w:bCs/>
          <w:i/>
          <w:iCs/>
          <w:color w:val="0000FF"/>
          <w:sz w:val="20"/>
          <w:szCs w:val="20"/>
          <w:u w:val="single"/>
        </w:rPr>
        <w:t>5*</w:t>
      </w:r>
      <w:r w:rsidRPr="003C4993">
        <w:rPr>
          <w:rFonts w:ascii="Verdana" w:hAnsi="Verdana"/>
          <w:b/>
          <w:bCs/>
          <w:i/>
          <w:iCs/>
          <w:color w:val="000000"/>
          <w:sz w:val="20"/>
          <w:szCs w:val="20"/>
        </w:rPr>
        <w:t>, sus modificatorias y complementarias (agentes de bolsa y de mercado abierto, concesionarios del sistema nacional de aeropuertos, servicios prestados por el uso de aeroestaciones correspondientes a vuelos de cabotaje e internacionales, distribuidores de diarios, revistas y afines, etc.).</w:t>
      </w:r>
      <w:r w:rsidR="00125BED" w:rsidRPr="003C4993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</w:t>
      </w:r>
    </w:p>
    <w:p w:rsidR="0070016A" w:rsidRPr="003C4993" w:rsidRDefault="00E70BF5" w:rsidP="00125BED">
      <w:pPr>
        <w:pStyle w:val="textonovedades"/>
        <w:spacing w:before="120" w:beforeAutospacing="0" w:after="105" w:afterAutospacing="0"/>
        <w:ind w:left="105" w:right="105"/>
        <w:jc w:val="both"/>
        <w:rPr>
          <w:rFonts w:ascii="Verdana" w:hAnsi="Verdana"/>
          <w:color w:val="000000"/>
          <w:sz w:val="20"/>
          <w:szCs w:val="20"/>
        </w:rPr>
      </w:pPr>
      <w:hyperlink r:id="rId8" w:anchor="ANEXO_IV" w:tgtFrame="_blank" w:history="1">
        <w:r w:rsidR="00E7011B">
          <w:rPr>
            <w:rStyle w:val="hipervnculo"/>
            <w:rFonts w:ascii="Verdana" w:hAnsi="Verdana"/>
            <w:b/>
            <w:bCs/>
            <w:color w:val="0000FF"/>
            <w:sz w:val="20"/>
            <w:szCs w:val="20"/>
            <w:u w:val="single"/>
          </w:rPr>
          <w:t>*A</w:t>
        </w:r>
        <w:r w:rsidR="0070016A" w:rsidRPr="003C4993">
          <w:rPr>
            <w:rStyle w:val="hipervnculo"/>
            <w:rFonts w:ascii="Verdana" w:hAnsi="Verdana"/>
            <w:b/>
            <w:bCs/>
            <w:color w:val="0000FF"/>
            <w:sz w:val="20"/>
            <w:szCs w:val="20"/>
            <w:u w:val="single"/>
          </w:rPr>
          <w:t>nexo IV de la resolución general 1415</w:t>
        </w:r>
      </w:hyperlink>
      <w:r w:rsidR="0070016A" w:rsidRPr="003C4993">
        <w:rPr>
          <w:rFonts w:ascii="Verdana" w:hAnsi="Verdana"/>
          <w:color w:val="000000"/>
          <w:sz w:val="20"/>
          <w:szCs w:val="20"/>
        </w:rPr>
        <w:t xml:space="preserve"> </w:t>
      </w:r>
    </w:p>
    <w:p w:rsidR="00125BED" w:rsidRPr="003C4993" w:rsidRDefault="00125BED" w:rsidP="00125BED">
      <w:pPr>
        <w:pStyle w:val="textonovedades"/>
        <w:spacing w:before="120" w:beforeAutospacing="0" w:after="105" w:afterAutospacing="0"/>
        <w:ind w:left="105" w:right="105"/>
        <w:jc w:val="both"/>
        <w:rPr>
          <w:rFonts w:ascii="Verdana" w:hAnsi="Verdana"/>
          <w:color w:val="000000"/>
          <w:sz w:val="20"/>
          <w:szCs w:val="20"/>
        </w:rPr>
      </w:pPr>
      <w:r w:rsidRPr="003C4993">
        <w:rPr>
          <w:rFonts w:ascii="Verdana" w:hAnsi="Verdana"/>
          <w:color w:val="000000"/>
          <w:sz w:val="20"/>
          <w:szCs w:val="20"/>
        </w:rPr>
        <w:t>7. ESTABLECIMIENTOS DE ENSEÑANZA PRIVADA</w:t>
      </w:r>
    </w:p>
    <w:p w:rsidR="00125BED" w:rsidRPr="003C4993" w:rsidRDefault="00125BED" w:rsidP="00125BED">
      <w:pPr>
        <w:pStyle w:val="textonovedades"/>
        <w:spacing w:before="120" w:beforeAutospacing="0" w:after="105" w:afterAutospacing="0"/>
        <w:ind w:left="105" w:right="105"/>
        <w:jc w:val="both"/>
        <w:rPr>
          <w:rFonts w:ascii="Verdana" w:hAnsi="Verdana"/>
          <w:color w:val="000000"/>
          <w:sz w:val="20"/>
          <w:szCs w:val="20"/>
        </w:rPr>
      </w:pPr>
      <w:r w:rsidRPr="003C4993">
        <w:rPr>
          <w:rFonts w:ascii="Verdana" w:hAnsi="Verdana"/>
          <w:color w:val="000000"/>
          <w:sz w:val="20"/>
          <w:szCs w:val="20"/>
        </w:rPr>
        <w:lastRenderedPageBreak/>
        <w:t>7.1. Requisitos</w:t>
      </w:r>
    </w:p>
    <w:p w:rsidR="00125BED" w:rsidRPr="003C4993" w:rsidRDefault="00125BED" w:rsidP="00125BED">
      <w:pPr>
        <w:pStyle w:val="sangrianovedades"/>
        <w:spacing w:before="80" w:beforeAutospacing="0" w:after="105" w:afterAutospacing="0"/>
        <w:ind w:left="105" w:right="105" w:firstLine="270"/>
        <w:jc w:val="both"/>
        <w:rPr>
          <w:rFonts w:ascii="Verdana" w:hAnsi="Verdana"/>
          <w:color w:val="000000"/>
          <w:sz w:val="20"/>
          <w:szCs w:val="20"/>
        </w:rPr>
      </w:pPr>
      <w:r w:rsidRPr="003C4993">
        <w:rPr>
          <w:rFonts w:ascii="Verdana" w:hAnsi="Verdana"/>
          <w:color w:val="000000"/>
          <w:sz w:val="20"/>
          <w:szCs w:val="20"/>
        </w:rPr>
        <w:t>Los comprobantes que emitan los establecimientos educativos privados para el cobro de los aranceles, deberán contener, como mínimo, los siguientes datos:</w:t>
      </w:r>
    </w:p>
    <w:p w:rsidR="00125BED" w:rsidRPr="003C4993" w:rsidRDefault="00125BED" w:rsidP="00125BED">
      <w:pPr>
        <w:pStyle w:val="errepar1erfrancesnovedades"/>
        <w:spacing w:before="80" w:beforeAutospacing="0" w:after="105" w:afterAutospacing="0"/>
        <w:ind w:left="270" w:right="105"/>
        <w:jc w:val="both"/>
        <w:rPr>
          <w:rFonts w:ascii="Verdana" w:hAnsi="Verdana"/>
          <w:color w:val="000000"/>
          <w:sz w:val="20"/>
          <w:szCs w:val="20"/>
        </w:rPr>
      </w:pPr>
      <w:r w:rsidRPr="003C4993">
        <w:rPr>
          <w:rFonts w:ascii="Verdana" w:hAnsi="Verdana"/>
          <w:color w:val="000000"/>
          <w:sz w:val="20"/>
          <w:szCs w:val="20"/>
        </w:rPr>
        <w:t>a) Nombre del establecimiento, con indicación de su característica como incorporado a la enseñanza oficial.</w:t>
      </w:r>
    </w:p>
    <w:p w:rsidR="00125BED" w:rsidRPr="003C4993" w:rsidRDefault="00125BED" w:rsidP="00125BED">
      <w:pPr>
        <w:pStyle w:val="errepar1erfrancesnovedades"/>
        <w:spacing w:before="80" w:beforeAutospacing="0" w:after="105" w:afterAutospacing="0"/>
        <w:ind w:left="270" w:right="105"/>
        <w:jc w:val="both"/>
        <w:rPr>
          <w:rFonts w:ascii="Verdana" w:hAnsi="Verdana"/>
          <w:color w:val="000000"/>
          <w:sz w:val="20"/>
          <w:szCs w:val="20"/>
        </w:rPr>
      </w:pPr>
      <w:r w:rsidRPr="003C4993">
        <w:rPr>
          <w:rFonts w:ascii="Verdana" w:hAnsi="Verdana"/>
          <w:color w:val="000000"/>
          <w:sz w:val="20"/>
          <w:szCs w:val="20"/>
        </w:rPr>
        <w:t>b) Domicilio comercial.</w:t>
      </w:r>
    </w:p>
    <w:p w:rsidR="00125BED" w:rsidRPr="003C4993" w:rsidRDefault="00125BED" w:rsidP="00125BED">
      <w:pPr>
        <w:pStyle w:val="errepar1erfrancesnovedades"/>
        <w:spacing w:before="80" w:beforeAutospacing="0" w:after="105" w:afterAutospacing="0"/>
        <w:ind w:left="270" w:right="105"/>
        <w:jc w:val="both"/>
        <w:rPr>
          <w:rFonts w:ascii="Verdana" w:hAnsi="Verdana"/>
          <w:color w:val="000000"/>
          <w:sz w:val="20"/>
          <w:szCs w:val="20"/>
        </w:rPr>
      </w:pPr>
      <w:r w:rsidRPr="003C4993">
        <w:rPr>
          <w:rFonts w:ascii="Verdana" w:hAnsi="Verdana"/>
          <w:color w:val="000000"/>
          <w:sz w:val="20"/>
          <w:szCs w:val="20"/>
        </w:rPr>
        <w:t>c) Numeración preimpresa y correlativa de los formularios.</w:t>
      </w:r>
    </w:p>
    <w:p w:rsidR="00125BED" w:rsidRPr="003C4993" w:rsidRDefault="00125BED" w:rsidP="00125BED">
      <w:pPr>
        <w:pStyle w:val="errepar1erfrancesnovedades"/>
        <w:spacing w:before="80" w:beforeAutospacing="0" w:after="105" w:afterAutospacing="0"/>
        <w:ind w:left="270" w:right="105"/>
        <w:jc w:val="both"/>
        <w:rPr>
          <w:rFonts w:ascii="Verdana" w:hAnsi="Verdana"/>
          <w:color w:val="000000"/>
          <w:sz w:val="20"/>
          <w:szCs w:val="20"/>
        </w:rPr>
      </w:pPr>
      <w:r w:rsidRPr="003C4993">
        <w:rPr>
          <w:rFonts w:ascii="Verdana" w:hAnsi="Verdana"/>
          <w:color w:val="000000"/>
          <w:sz w:val="20"/>
          <w:szCs w:val="20"/>
        </w:rPr>
        <w:t>d) Clave Única de Identificación Tributaria (CUIT) del emisor.</w:t>
      </w:r>
    </w:p>
    <w:p w:rsidR="00125BED" w:rsidRPr="003C4993" w:rsidRDefault="00125BED" w:rsidP="00125BED">
      <w:pPr>
        <w:pStyle w:val="errepar1erfrancesnovedades"/>
        <w:spacing w:before="80" w:beforeAutospacing="0" w:after="105" w:afterAutospacing="0"/>
        <w:ind w:left="270" w:right="105"/>
        <w:jc w:val="both"/>
        <w:rPr>
          <w:rFonts w:ascii="Verdana" w:hAnsi="Verdana"/>
          <w:color w:val="000000"/>
          <w:sz w:val="20"/>
          <w:szCs w:val="20"/>
        </w:rPr>
      </w:pPr>
      <w:r w:rsidRPr="003C4993">
        <w:rPr>
          <w:rFonts w:ascii="Verdana" w:hAnsi="Verdana"/>
          <w:color w:val="000000"/>
          <w:sz w:val="20"/>
          <w:szCs w:val="20"/>
        </w:rPr>
        <w:t>e) Indicación clara y precisa de los rubros que componen la cuota:</w:t>
      </w:r>
    </w:p>
    <w:p w:rsidR="00125BED" w:rsidRPr="003C4993" w:rsidRDefault="00125BED" w:rsidP="00125BED">
      <w:pPr>
        <w:pStyle w:val="errepar2dofrancesnovedades"/>
        <w:spacing w:before="80" w:beforeAutospacing="0" w:after="105" w:afterAutospacing="0"/>
        <w:ind w:left="540" w:right="105"/>
        <w:jc w:val="both"/>
        <w:rPr>
          <w:rFonts w:ascii="Verdana" w:hAnsi="Verdana"/>
          <w:color w:val="000000"/>
          <w:sz w:val="20"/>
          <w:szCs w:val="20"/>
        </w:rPr>
      </w:pPr>
      <w:r w:rsidRPr="003C4993">
        <w:rPr>
          <w:rFonts w:ascii="Verdana" w:hAnsi="Verdana"/>
          <w:color w:val="000000"/>
          <w:sz w:val="20"/>
          <w:szCs w:val="20"/>
        </w:rPr>
        <w:t>1. Enseñanza programática.</w:t>
      </w:r>
    </w:p>
    <w:p w:rsidR="00125BED" w:rsidRPr="003C4993" w:rsidRDefault="00125BED" w:rsidP="00125BED">
      <w:pPr>
        <w:pStyle w:val="errepar2dofrancesnovedades"/>
        <w:spacing w:before="80" w:beforeAutospacing="0" w:after="105" w:afterAutospacing="0"/>
        <w:ind w:left="540" w:right="105"/>
        <w:jc w:val="both"/>
        <w:rPr>
          <w:rFonts w:ascii="Verdana" w:hAnsi="Verdana"/>
          <w:color w:val="000000"/>
          <w:sz w:val="20"/>
          <w:szCs w:val="20"/>
        </w:rPr>
      </w:pPr>
      <w:r w:rsidRPr="003C4993">
        <w:rPr>
          <w:rFonts w:ascii="Verdana" w:hAnsi="Verdana"/>
          <w:color w:val="000000"/>
          <w:sz w:val="20"/>
          <w:szCs w:val="20"/>
        </w:rPr>
        <w:t>2. Enseñanza extraprogramática: se consignará la cantidad de módulos en forma separada y la denominación de los mismos.</w:t>
      </w:r>
    </w:p>
    <w:p w:rsidR="00125BED" w:rsidRPr="003C4993" w:rsidRDefault="00125BED" w:rsidP="00125BED">
      <w:pPr>
        <w:pStyle w:val="errepar2dofrancesnovedades"/>
        <w:spacing w:before="80" w:beforeAutospacing="0" w:after="105" w:afterAutospacing="0"/>
        <w:ind w:left="540" w:right="105"/>
        <w:jc w:val="both"/>
        <w:rPr>
          <w:rFonts w:ascii="Verdana" w:hAnsi="Verdana"/>
          <w:color w:val="000000"/>
          <w:sz w:val="20"/>
          <w:szCs w:val="20"/>
        </w:rPr>
      </w:pPr>
      <w:r w:rsidRPr="003C4993">
        <w:rPr>
          <w:rFonts w:ascii="Verdana" w:hAnsi="Verdana"/>
          <w:color w:val="000000"/>
          <w:sz w:val="20"/>
          <w:szCs w:val="20"/>
        </w:rPr>
        <w:t>3. Otros conceptos: deben incluirse en este rubro las prestaciones por servicios no educativos tales como comedor, transporte, internados, siempre que la contratación y la percepción esté a cargo de los Institutos.</w:t>
      </w:r>
    </w:p>
    <w:p w:rsidR="00125BED" w:rsidRPr="003C4993" w:rsidRDefault="00125BED" w:rsidP="00125BED">
      <w:pPr>
        <w:pStyle w:val="textonovedades"/>
        <w:spacing w:before="120" w:beforeAutospacing="0" w:after="105" w:afterAutospacing="0"/>
        <w:ind w:left="105" w:right="105"/>
        <w:jc w:val="both"/>
        <w:rPr>
          <w:rFonts w:ascii="Verdana" w:hAnsi="Verdana"/>
          <w:color w:val="000000"/>
          <w:sz w:val="20"/>
          <w:szCs w:val="20"/>
        </w:rPr>
      </w:pPr>
      <w:r w:rsidRPr="003C4993">
        <w:rPr>
          <w:rFonts w:ascii="Verdana" w:hAnsi="Verdana"/>
          <w:color w:val="000000"/>
          <w:sz w:val="20"/>
          <w:szCs w:val="20"/>
        </w:rPr>
        <w:t>7.2. Comprobantes a emitir</w:t>
      </w:r>
    </w:p>
    <w:p w:rsidR="00BA3532" w:rsidRPr="003C4993" w:rsidRDefault="00125BED" w:rsidP="00125BED">
      <w:pPr>
        <w:pStyle w:val="sangrianovedades"/>
        <w:spacing w:before="80" w:beforeAutospacing="0" w:after="105" w:afterAutospacing="0"/>
        <w:ind w:left="105" w:right="105" w:firstLine="270"/>
        <w:jc w:val="both"/>
        <w:rPr>
          <w:rFonts w:ascii="Verdana" w:hAnsi="Verdana"/>
          <w:color w:val="000000"/>
          <w:sz w:val="20"/>
          <w:szCs w:val="20"/>
        </w:rPr>
      </w:pPr>
      <w:r w:rsidRPr="003C4993">
        <w:rPr>
          <w:rFonts w:ascii="Verdana" w:hAnsi="Verdana"/>
          <w:color w:val="000000"/>
          <w:sz w:val="20"/>
          <w:szCs w:val="20"/>
        </w:rPr>
        <w:t>Los formularios que se emitan deben indicar los conceptos percibidos, según lo expresado en el ítem precedente, con firma y aclaración del responsable o apoderado o representante legal o tesorero, que intervino en la emisión del documento y su cobro.)</w:t>
      </w:r>
    </w:p>
    <w:p w:rsidR="00BA3532" w:rsidRPr="003C4993" w:rsidRDefault="00125BED" w:rsidP="00BA3532">
      <w:pPr>
        <w:pStyle w:val="errepar1erfrancesnovedades"/>
        <w:spacing w:before="80" w:beforeAutospacing="0" w:after="0" w:afterAutospacing="0"/>
        <w:ind w:left="270" w:right="105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bookmarkStart w:id="4" w:name="Art_5_IncB"/>
      <w:bookmarkEnd w:id="4"/>
      <w:r w:rsidRPr="003C4993">
        <w:rPr>
          <w:rFonts w:ascii="Verdana" w:hAnsi="Verdana"/>
          <w:b/>
          <w:bCs/>
          <w:color w:val="000000"/>
          <w:sz w:val="20"/>
          <w:szCs w:val="20"/>
        </w:rPr>
        <w:t>b</w:t>
      </w:r>
      <w:r w:rsidR="00BA3532" w:rsidRPr="003C4993">
        <w:rPr>
          <w:rFonts w:ascii="Verdana" w:hAnsi="Verdana"/>
          <w:b/>
          <w:bCs/>
          <w:color w:val="000000"/>
          <w:sz w:val="20"/>
          <w:szCs w:val="20"/>
        </w:rPr>
        <w:t xml:space="preserve">) </w:t>
      </w:r>
      <w:r w:rsidRPr="003C4993"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  <w:r w:rsidR="00BA3532" w:rsidRPr="003C4993">
        <w:rPr>
          <w:rFonts w:ascii="Verdana" w:hAnsi="Verdana"/>
          <w:b/>
          <w:bCs/>
          <w:color w:val="000000"/>
          <w:sz w:val="20"/>
          <w:szCs w:val="20"/>
        </w:rPr>
        <w:t>Las facturas o documentos equivalentes emitidos por los sujetos indicados en el </w:t>
      </w:r>
      <w:r w:rsidR="00BA3532" w:rsidRPr="003C4993">
        <w:rPr>
          <w:rStyle w:val="hipervnculo"/>
          <w:rFonts w:ascii="Verdana" w:hAnsi="Verdana"/>
          <w:b/>
          <w:bCs/>
          <w:color w:val="0000FF"/>
          <w:sz w:val="20"/>
          <w:szCs w:val="20"/>
          <w:u w:val="single"/>
        </w:rPr>
        <w:t>apartado A del Anexo I de la resolución general 141</w:t>
      </w:r>
      <w:r w:rsidR="00E7011B">
        <w:rPr>
          <w:rStyle w:val="hipervnculo"/>
          <w:rFonts w:ascii="Verdana" w:hAnsi="Verdana"/>
          <w:b/>
          <w:bCs/>
          <w:color w:val="0000FF"/>
          <w:sz w:val="20"/>
          <w:szCs w:val="20"/>
          <w:u w:val="single"/>
        </w:rPr>
        <w:t>5**</w:t>
      </w:r>
      <w:r w:rsidR="00BA3532" w:rsidRPr="003C4993">
        <w:rPr>
          <w:rFonts w:ascii="Verdana" w:hAnsi="Verdana"/>
          <w:b/>
          <w:bCs/>
          <w:color w:val="000000"/>
          <w:sz w:val="20"/>
          <w:szCs w:val="20"/>
        </w:rPr>
        <w:t xml:space="preserve"> sus modificatorias y complementarias, respecto de las operaciones allí detalladas, en tanto no se encuentren en las situaciones previstas en el apartado B del mismo Anexo I.</w:t>
      </w:r>
    </w:p>
    <w:p w:rsidR="0070016A" w:rsidRPr="003C4993" w:rsidRDefault="00E70BF5" w:rsidP="00BA3532">
      <w:pPr>
        <w:pStyle w:val="errepar1erfrancesnovedades"/>
        <w:spacing w:before="80" w:beforeAutospacing="0" w:after="0" w:afterAutospacing="0"/>
        <w:ind w:left="270" w:right="105"/>
        <w:jc w:val="both"/>
        <w:rPr>
          <w:rStyle w:val="hipervnculo"/>
          <w:rFonts w:ascii="Verdana" w:hAnsi="Verdana"/>
          <w:b/>
          <w:bCs/>
          <w:color w:val="0000FF"/>
          <w:sz w:val="20"/>
          <w:szCs w:val="20"/>
          <w:u w:val="single"/>
        </w:rPr>
      </w:pPr>
      <w:hyperlink r:id="rId9" w:anchor="I_IVA_RG_AFIP_1415_AI_apartado_A" w:tgtFrame="_blank" w:history="1">
        <w:r w:rsidR="00E7011B">
          <w:rPr>
            <w:rStyle w:val="hipervnculo"/>
            <w:rFonts w:ascii="Verdana" w:hAnsi="Verdana"/>
            <w:b/>
            <w:bCs/>
            <w:color w:val="0000FF"/>
            <w:sz w:val="20"/>
            <w:szCs w:val="20"/>
            <w:u w:val="single"/>
          </w:rPr>
          <w:t>**A</w:t>
        </w:r>
        <w:r w:rsidR="0070016A" w:rsidRPr="003C4993">
          <w:rPr>
            <w:rStyle w:val="hipervnculo"/>
            <w:rFonts w:ascii="Verdana" w:hAnsi="Verdana"/>
            <w:b/>
            <w:bCs/>
            <w:color w:val="0000FF"/>
            <w:sz w:val="20"/>
            <w:szCs w:val="20"/>
            <w:u w:val="single"/>
          </w:rPr>
          <w:t>partado A del Anexo I de la resolución general 1415</w:t>
        </w:r>
      </w:hyperlink>
    </w:p>
    <w:p w:rsidR="00BA3532" w:rsidRPr="003C4993" w:rsidRDefault="00BA3532" w:rsidP="00BA3532">
      <w:pPr>
        <w:pStyle w:val="errepar1erfrancesnovedades"/>
        <w:spacing w:before="80" w:beforeAutospacing="0" w:after="0" w:afterAutospacing="0"/>
        <w:ind w:left="270" w:right="105"/>
        <w:jc w:val="both"/>
        <w:rPr>
          <w:rFonts w:ascii="Verdana" w:hAnsi="Verdana"/>
          <w:color w:val="000000"/>
          <w:sz w:val="20"/>
          <w:szCs w:val="20"/>
        </w:rPr>
      </w:pPr>
      <w:r w:rsidRPr="003C4993">
        <w:rPr>
          <w:rFonts w:ascii="Verdana" w:hAnsi="Verdana"/>
          <w:color w:val="000000"/>
          <w:sz w:val="20"/>
          <w:szCs w:val="20"/>
        </w:rPr>
        <w:t>ART. 20 LIG</w:t>
      </w:r>
    </w:p>
    <w:p w:rsidR="00BA3532" w:rsidRPr="003C4993" w:rsidRDefault="00BA3532" w:rsidP="00BA3532">
      <w:pPr>
        <w:pStyle w:val="errepar1erfrancesnovedades"/>
        <w:spacing w:before="80" w:beforeAutospacing="0" w:after="0" w:afterAutospacing="0"/>
        <w:ind w:left="270" w:right="105"/>
        <w:jc w:val="both"/>
        <w:rPr>
          <w:rFonts w:ascii="Verdana" w:hAnsi="Verdana"/>
          <w:color w:val="000000"/>
          <w:sz w:val="20"/>
          <w:szCs w:val="20"/>
        </w:rPr>
      </w:pPr>
      <w:r w:rsidRPr="003C4993">
        <w:rPr>
          <w:rFonts w:ascii="Verdana" w:hAnsi="Verdana"/>
          <w:color w:val="000000"/>
          <w:sz w:val="20"/>
          <w:szCs w:val="20"/>
        </w:rPr>
        <w:t>e) las ganancias de las instituciones religiosas;</w:t>
      </w:r>
    </w:p>
    <w:p w:rsidR="00BA3532" w:rsidRPr="003C4993" w:rsidRDefault="00BA3532" w:rsidP="00BA3532">
      <w:pPr>
        <w:pStyle w:val="errepar1erfrancesnovedades"/>
        <w:spacing w:before="80" w:beforeAutospacing="0" w:after="0" w:afterAutospacing="0"/>
        <w:ind w:left="270" w:right="105"/>
        <w:jc w:val="both"/>
        <w:rPr>
          <w:rFonts w:ascii="Verdana" w:hAnsi="Verdana"/>
          <w:color w:val="000000"/>
          <w:sz w:val="20"/>
          <w:szCs w:val="20"/>
        </w:rPr>
      </w:pPr>
      <w:r w:rsidRPr="003C4993">
        <w:rPr>
          <w:rFonts w:ascii="Verdana" w:hAnsi="Verdana"/>
          <w:color w:val="000000"/>
          <w:sz w:val="20"/>
          <w:szCs w:val="20"/>
        </w:rPr>
        <w:t>f) </w:t>
      </w:r>
      <w:r w:rsidRPr="003C4993">
        <w:rPr>
          <w:rFonts w:ascii="Verdana" w:hAnsi="Verdana"/>
          <w:b/>
          <w:bCs/>
          <w:i/>
          <w:iCs/>
          <w:color w:val="000000"/>
          <w:sz w:val="20"/>
          <w:szCs w:val="20"/>
        </w:rPr>
        <w:t>Las ganancias que obtengan las asociaciones, fundaciones y entidades civiles de asistencia</w:t>
      </w:r>
      <w:r w:rsidRPr="003C4993">
        <w:rPr>
          <w:rFonts w:ascii="Verdana" w:hAnsi="Verdana"/>
          <w:color w:val="000000"/>
          <w:sz w:val="20"/>
          <w:szCs w:val="20"/>
        </w:rPr>
        <w:t xml:space="preserve"> social, salud pública, caridad, beneficencia</w:t>
      </w:r>
      <w:r w:rsidRPr="003C4993">
        <w:rPr>
          <w:rFonts w:ascii="Verdana" w:hAnsi="Verdana"/>
          <w:b/>
          <w:bCs/>
          <w:i/>
          <w:iCs/>
          <w:color w:val="000000"/>
          <w:sz w:val="20"/>
          <w:szCs w:val="20"/>
        </w:rPr>
        <w:t>, educación</w:t>
      </w:r>
      <w:r w:rsidRPr="003C4993">
        <w:rPr>
          <w:rFonts w:ascii="Verdana" w:hAnsi="Verdana"/>
          <w:color w:val="000000"/>
          <w:sz w:val="20"/>
          <w:szCs w:val="20"/>
        </w:rPr>
        <w:t xml:space="preserve"> e instrucción, científicas, literarias, artísticas, gremiales y las de cultura física o intelectual, siempre que tales ganancias y el patrimonio social se destinen a los fines de su creación, y en ningún caso se distribuyan, directa o indirectamente, entre los socios. Se excluyen de esta exención aquellas entidades que obtienen sus recursos, en todo o en parte, de la explotación de espectáculos públicos, juegos de azar, carreras de caballos y actividades similares, </w:t>
      </w:r>
      <w:r w:rsidRPr="003C4993">
        <w:rPr>
          <w:rStyle w:val="cursivanovedades"/>
          <w:rFonts w:ascii="Verdana" w:hAnsi="Verdana"/>
          <w:i/>
          <w:iCs/>
          <w:color w:val="000000"/>
          <w:sz w:val="20"/>
          <w:szCs w:val="20"/>
        </w:rPr>
        <w:t>así como actividades de crédito o financieras -excepto las inversiones financieras que pudieran realizarse a efectos de preservar el patrimonio social, entre las que quedan comprendidas aquellas realizadas por los Colegios y Consejos Profesionales y las Cajas de Previsión Social, creadas o reconocidas por normas legales nacionales y provinciales-.</w:t>
      </w:r>
    </w:p>
    <w:p w:rsidR="00BA3532" w:rsidRPr="003C4993" w:rsidRDefault="00BA3532" w:rsidP="00BA3532">
      <w:pPr>
        <w:pStyle w:val="errepar1erfrancesnovedades"/>
        <w:spacing w:before="80" w:beforeAutospacing="0" w:after="0" w:afterAutospacing="0"/>
        <w:ind w:left="270" w:right="105"/>
        <w:jc w:val="both"/>
        <w:rPr>
          <w:rFonts w:ascii="Verdana" w:hAnsi="Verdana"/>
          <w:color w:val="000000"/>
          <w:sz w:val="20"/>
          <w:szCs w:val="20"/>
        </w:rPr>
      </w:pPr>
      <w:r w:rsidRPr="003C4993">
        <w:rPr>
          <w:rFonts w:ascii="Verdana" w:hAnsi="Verdana"/>
          <w:color w:val="000000"/>
          <w:sz w:val="20"/>
          <w:szCs w:val="20"/>
        </w:rPr>
        <w:t>La exención a que se refiere el primer párrafo no será de aplicación en el caso de fundaciones y asociaciones o entidades civiles de carácter gremial que desarrollen actividades industriales o comerciales, </w:t>
      </w:r>
      <w:r w:rsidRPr="003C4993">
        <w:rPr>
          <w:rStyle w:val="cursivanovedades"/>
          <w:rFonts w:ascii="Verdana" w:hAnsi="Verdana"/>
          <w:i/>
          <w:iCs/>
          <w:color w:val="000000"/>
          <w:sz w:val="20"/>
          <w:szCs w:val="20"/>
        </w:rPr>
        <w:t>excepto cuando las actividades industriales o comerciales tengan relación con el objeto de tales entes y los ingresos que generen no superen el porcentaje que determine la reglamentación sobre los ingresos totales. En caso de superar el porcentaje establecido, la exención no será aplicable a los resultados provenientes de esas actividades.</w:t>
      </w:r>
      <w:r w:rsidR="00125BED" w:rsidRPr="003C4993">
        <w:rPr>
          <w:rStyle w:val="cursivanovedades"/>
          <w:rFonts w:ascii="Verdana" w:hAnsi="Verdana"/>
          <w:i/>
          <w:iCs/>
          <w:color w:val="000000"/>
          <w:sz w:val="20"/>
          <w:szCs w:val="20"/>
        </w:rPr>
        <w:t>)</w:t>
      </w:r>
    </w:p>
    <w:p w:rsidR="00BA3532" w:rsidRPr="003C4993" w:rsidRDefault="00BA3532" w:rsidP="00BA3532">
      <w:pPr>
        <w:pStyle w:val="errepar1erfrancesnovedades"/>
        <w:spacing w:before="80" w:beforeAutospacing="0" w:after="0" w:afterAutospacing="0"/>
        <w:ind w:left="270" w:right="105"/>
        <w:jc w:val="both"/>
        <w:rPr>
          <w:rFonts w:ascii="Verdana" w:hAnsi="Verdana"/>
          <w:color w:val="000000"/>
          <w:sz w:val="20"/>
          <w:szCs w:val="20"/>
        </w:rPr>
      </w:pPr>
      <w:r w:rsidRPr="003C4993">
        <w:rPr>
          <w:rFonts w:ascii="Verdana" w:hAnsi="Verdana"/>
          <w:color w:val="000000"/>
          <w:sz w:val="20"/>
          <w:szCs w:val="20"/>
        </w:rPr>
        <w:lastRenderedPageBreak/>
        <w:t>g) las ganancias de las entidades mutualistas que cumplan las exigencias de las normas legales y reglamentarias pertinentes y los beneficios que éstas proporcionen a sus asociados;</w:t>
      </w:r>
    </w:p>
    <w:p w:rsidR="00386A12" w:rsidRPr="003C4993" w:rsidRDefault="00BA3532" w:rsidP="00BA3532">
      <w:pPr>
        <w:pStyle w:val="errepar1erfrancesnovedades"/>
        <w:spacing w:before="80" w:beforeAutospacing="0" w:after="0" w:afterAutospacing="0"/>
        <w:ind w:left="270" w:right="105"/>
        <w:jc w:val="both"/>
        <w:rPr>
          <w:rFonts w:ascii="Verdana" w:hAnsi="Verdana"/>
          <w:color w:val="000000"/>
          <w:sz w:val="20"/>
          <w:szCs w:val="20"/>
        </w:rPr>
      </w:pPr>
      <w:r w:rsidRPr="003C4993">
        <w:rPr>
          <w:rFonts w:ascii="Verdana" w:hAnsi="Verdana"/>
          <w:color w:val="000000"/>
          <w:sz w:val="20"/>
          <w:szCs w:val="20"/>
        </w:rPr>
        <w:t>m) las ganancias de las asociaciones deportivas y de cultura física, siempre que las mismas no persigan fines de lucro, exploten o autoricen juegos de azar y/o cuyas actividades de mero carácter social priven sobre las deportivas, conforme a la reglamentación que dicte el Poder Ejecutivo.</w:t>
      </w:r>
    </w:p>
    <w:p w:rsidR="00BA3532" w:rsidRPr="003C4993" w:rsidRDefault="00BA3532" w:rsidP="00BA3532">
      <w:pPr>
        <w:pStyle w:val="errepar1erfrancesnovedades"/>
        <w:spacing w:before="80" w:beforeAutospacing="0" w:after="0" w:afterAutospacing="0"/>
        <w:ind w:left="270" w:right="105"/>
        <w:jc w:val="both"/>
        <w:rPr>
          <w:rFonts w:ascii="Verdana" w:hAnsi="Verdana"/>
          <w:color w:val="000000"/>
          <w:sz w:val="20"/>
          <w:szCs w:val="20"/>
        </w:rPr>
      </w:pPr>
    </w:p>
    <w:p w:rsidR="00BA41CD" w:rsidRPr="003C4993" w:rsidRDefault="00BA41CD" w:rsidP="00BA3532">
      <w:pPr>
        <w:pStyle w:val="errepar1erfrancesnovedades"/>
        <w:spacing w:before="80" w:beforeAutospacing="0" w:after="0" w:afterAutospacing="0"/>
        <w:ind w:left="270" w:right="105"/>
        <w:jc w:val="both"/>
        <w:rPr>
          <w:rFonts w:ascii="Verdana" w:hAnsi="Verdana"/>
          <w:color w:val="000000"/>
          <w:sz w:val="20"/>
          <w:szCs w:val="20"/>
        </w:rPr>
      </w:pPr>
    </w:p>
    <w:p w:rsidR="00BA41CD" w:rsidRPr="003C4993" w:rsidRDefault="00BA41CD" w:rsidP="00BA41CD">
      <w:pPr>
        <w:spacing w:before="200" w:after="100" w:line="240" w:lineRule="auto"/>
        <w:ind w:left="105" w:right="105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eastAsia="es-AR"/>
        </w:rPr>
      </w:pPr>
      <w:bookmarkStart w:id="5" w:name="_GoBack"/>
      <w:r w:rsidRPr="003C4993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eastAsia="es-AR"/>
        </w:rPr>
        <w:t>RG AFIP 4291/2018</w:t>
      </w:r>
    </w:p>
    <w:bookmarkEnd w:id="5"/>
    <w:p w:rsidR="00BA41CD" w:rsidRPr="00BA41CD" w:rsidRDefault="00BA41CD" w:rsidP="00BA41CD">
      <w:pPr>
        <w:spacing w:before="200" w:after="100" w:line="240" w:lineRule="auto"/>
        <w:ind w:left="105" w:right="105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</w:pPr>
      <w:r w:rsidRPr="00BA41CD"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  <w:t>RESUELVE:</w:t>
      </w:r>
    </w:p>
    <w:p w:rsidR="00BA41CD" w:rsidRPr="00BA41CD" w:rsidRDefault="00BA41CD" w:rsidP="00BA41CD">
      <w:pPr>
        <w:spacing w:before="200" w:after="100" w:line="240" w:lineRule="auto"/>
        <w:ind w:left="105" w:right="105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</w:pPr>
      <w:r w:rsidRPr="00BA41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AR"/>
        </w:rPr>
        <w:t>TÍTULO I</w:t>
      </w:r>
    </w:p>
    <w:p w:rsidR="00BA41CD" w:rsidRPr="00BA41CD" w:rsidRDefault="00BA41CD" w:rsidP="00BA41CD">
      <w:pPr>
        <w:spacing w:before="200" w:after="100" w:line="240" w:lineRule="auto"/>
        <w:ind w:left="105" w:right="105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</w:pPr>
      <w:r w:rsidRPr="00BA41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AR"/>
        </w:rPr>
        <w:t>RÉGIMEN ESPECIAL PARA LA EMISIÓN Y ALMACENAMIENTO ELECTRÓNICO DE COMPROBANTES ORIGINALES</w:t>
      </w:r>
    </w:p>
    <w:p w:rsidR="00BA41CD" w:rsidRPr="00BA41CD" w:rsidRDefault="00BA41CD" w:rsidP="00BA41CD">
      <w:pPr>
        <w:spacing w:before="240" w:after="100" w:line="240" w:lineRule="auto"/>
        <w:ind w:left="105" w:right="105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AR"/>
        </w:rPr>
      </w:pPr>
      <w:r w:rsidRPr="00BA41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AR"/>
        </w:rPr>
        <w:t>A - ALCANCE GENERAL DEL RÉGIMEN</w:t>
      </w:r>
    </w:p>
    <w:p w:rsidR="00BA41CD" w:rsidRPr="00BA41CD" w:rsidRDefault="00BA41CD" w:rsidP="00BA41CD">
      <w:pPr>
        <w:spacing w:before="80" w:after="0" w:line="240" w:lineRule="auto"/>
        <w:ind w:left="105" w:right="105" w:firstLine="10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</w:pPr>
      <w:r w:rsidRPr="00BA41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AR"/>
        </w:rPr>
        <w:t>Art. 1</w:t>
      </w:r>
      <w:r w:rsidRPr="00BA41CD"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  <w:t> - Establécese un régimen especial para la emisión y almacenamiento electrónico de comprobantes originales, respaldatorios de las operaciones de compraventa de cosas muebles, locaciones y prestaciones de servicios, locaciones de cosas y obras y las señas o anticipos que congelen el precio, denominado “Régimen de Emisión de Comprobantes Electrónicos”, en adelante “RECE”.</w:t>
      </w:r>
    </w:p>
    <w:p w:rsidR="00BA41CD" w:rsidRPr="00BA41CD" w:rsidRDefault="00BA41CD" w:rsidP="00BA41CD">
      <w:pPr>
        <w:spacing w:before="80" w:after="0" w:line="240" w:lineRule="auto"/>
        <w:ind w:left="105" w:right="105" w:firstLine="10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</w:pPr>
      <w:r w:rsidRPr="00BA41CD"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  <w:t>Deberán observar lo establecido por la presente resolución general los sujetos que opten o queden obligados a la emisión de comprobantes electrónicos originales conforme a lo previsto en la </w:t>
      </w:r>
      <w:hyperlink r:id="rId10" w:tgtFrame="_blank" w:history="1">
        <w:r w:rsidRPr="00BA41CD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s-AR"/>
          </w:rPr>
          <w:t>resolución general 4290</w:t>
        </w:r>
      </w:hyperlink>
      <w:r w:rsidRPr="00BA41CD"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  <w:t>.</w:t>
      </w:r>
    </w:p>
    <w:p w:rsidR="00BA41CD" w:rsidRPr="00BA41CD" w:rsidRDefault="00BA41CD" w:rsidP="00BA41CD">
      <w:pPr>
        <w:spacing w:before="80" w:after="0" w:line="240" w:lineRule="auto"/>
        <w:ind w:left="105" w:right="105" w:firstLine="10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</w:pPr>
      <w:r w:rsidRPr="00BA41CD"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  <w:t>Asimismo, los proveedores de los entes integrantes del sector público nacional comprendidos en los incisos a), b), c) y d) del artículo 8 de la ley 24156 y sus modificaciones, susceptibles de ser evaluados en los términos de la </w:t>
      </w:r>
      <w:hyperlink r:id="rId11" w:tgtFrame="_blank" w:history="1">
        <w:r w:rsidRPr="00BA41CD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s-AR"/>
          </w:rPr>
          <w:t>resolución general 4164</w:t>
        </w:r>
      </w:hyperlink>
      <w:r w:rsidRPr="00BA41CD"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  <w:t>, deberán emitir exclusivamente comprobantes electrónicos originales conforme a lo previsto en la presente por las operaciones de venta de cosas muebles, locaciones y prestaciones de servicios, locaciones de cosas y de obras que efectúen con los referidos entes.</w:t>
      </w:r>
    </w:p>
    <w:p w:rsidR="00BA41CD" w:rsidRPr="00BA41CD" w:rsidRDefault="00BA41CD" w:rsidP="00BA41CD">
      <w:pPr>
        <w:spacing w:before="240" w:after="100" w:line="240" w:lineRule="auto"/>
        <w:ind w:left="105" w:right="105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AR"/>
        </w:rPr>
      </w:pPr>
      <w:r w:rsidRPr="00BA41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AR"/>
        </w:rPr>
        <w:t>B - COMPROBANTES</w:t>
      </w:r>
    </w:p>
    <w:p w:rsidR="00BA41CD" w:rsidRPr="00BA41CD" w:rsidRDefault="00BA41CD" w:rsidP="00BA41CD">
      <w:pPr>
        <w:spacing w:before="240" w:after="100" w:line="240" w:lineRule="auto"/>
        <w:ind w:left="105" w:right="105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AR"/>
        </w:rPr>
      </w:pPr>
      <w:r w:rsidRPr="00BA41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AR"/>
        </w:rPr>
        <w:t>- Emisión. Aspectos generales</w:t>
      </w:r>
    </w:p>
    <w:p w:rsidR="00BA41CD" w:rsidRPr="00BA41CD" w:rsidRDefault="00BA41CD" w:rsidP="00BA41CD">
      <w:pPr>
        <w:spacing w:before="80" w:after="0" w:line="240" w:lineRule="auto"/>
        <w:ind w:left="105" w:right="105" w:firstLine="10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</w:pPr>
      <w:r w:rsidRPr="00BA41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AR"/>
        </w:rPr>
        <w:t>Art. 2</w:t>
      </w:r>
      <w:r w:rsidRPr="00BA41CD"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  <w:t> - Para la emisión de los comprobantes electrónicos originales, los responsables deberán cumplir, en lo pertinente, con las obligaciones dispuestas en la </w:t>
      </w:r>
      <w:hyperlink r:id="rId12" w:tgtFrame="_blank" w:history="1">
        <w:r w:rsidRPr="00BA41CD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s-AR"/>
          </w:rPr>
          <w:t>resolución general 1415</w:t>
        </w:r>
      </w:hyperlink>
      <w:r w:rsidRPr="00BA41CD"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  <w:t>, sus modificatorias y complementarias, o la norma que la sustituya en el futuro, excepto aquellas disposiciones que se opongan a la presente, en cuyo caso se aplicará lo establecido en esta última resolución general.</w:t>
      </w:r>
    </w:p>
    <w:p w:rsidR="00BA41CD" w:rsidRPr="00BA41CD" w:rsidRDefault="00BA41CD" w:rsidP="00BA41CD">
      <w:pPr>
        <w:spacing w:before="80" w:after="0" w:line="240" w:lineRule="auto"/>
        <w:ind w:left="105" w:right="105" w:firstLine="10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</w:pPr>
      <w:r w:rsidRPr="00BA41CD"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  <w:t>Tanto los sujetos que opten como los que queden obligados a la emisión y almacenamiento electrónico de comprobantes originales, a los fines de la emisión de las facturas o documentos y demás comprobantes, cuando no utilicen alguna de las opciones previstas en el artículo 6 de la presente, se configurará el incumplimiento normado en la </w:t>
      </w:r>
      <w:hyperlink r:id="rId13" w:tgtFrame="_blank" w:history="1">
        <w:r w:rsidRPr="00BA41CD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s-AR"/>
          </w:rPr>
          <w:t>resolución general 1415</w:t>
        </w:r>
      </w:hyperlink>
      <w:r w:rsidRPr="00BA41CD"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  <w:t>, sus modificatorias y complementarias, y en la </w:t>
      </w:r>
      <w:hyperlink r:id="rId14" w:tgtFrame="_blank" w:history="1">
        <w:r w:rsidRPr="00BA41CD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s-AR"/>
          </w:rPr>
          <w:t>resolución general 4290</w:t>
        </w:r>
      </w:hyperlink>
      <w:r w:rsidRPr="00BA41CD"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  <w:t>.</w:t>
      </w:r>
    </w:p>
    <w:p w:rsidR="00BA41CD" w:rsidRPr="00BA41CD" w:rsidRDefault="00BA41CD" w:rsidP="00BA41CD">
      <w:pPr>
        <w:spacing w:before="80" w:after="0" w:line="240" w:lineRule="auto"/>
        <w:ind w:left="105" w:right="105" w:firstLine="10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</w:pPr>
      <w:r w:rsidRPr="00BA41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AR"/>
        </w:rPr>
        <w:t>Art. 3</w:t>
      </w:r>
      <w:r w:rsidRPr="00BA41CD"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  <w:t xml:space="preserve"> - Los sujetos que deban emitir comprobantes electrónicos según especificaciones y reglamentaciones particulares, deberán cumplir con los plazos y condiciones previstos en la norma que los alcance o instrumente (vgr., sujetos </w:t>
      </w:r>
      <w:r w:rsidRPr="00BA41CD">
        <w:rPr>
          <w:rFonts w:ascii="Verdana" w:eastAsia="Times New Roman" w:hAnsi="Verdana" w:cs="Times New Roman"/>
          <w:color w:val="000000"/>
          <w:sz w:val="20"/>
          <w:szCs w:val="20"/>
          <w:lang w:eastAsia="es-AR"/>
        </w:rPr>
        <w:lastRenderedPageBreak/>
        <w:t>alcanzados por la RG 2904). No obstante, esta resolución general será de aplicación para todos aquellos aspectos no reglamentados por las mismas.</w:t>
      </w:r>
    </w:p>
    <w:p w:rsidR="00BA41CD" w:rsidRPr="00BA41CD" w:rsidRDefault="00BA41CD" w:rsidP="00BA41CD">
      <w:pPr>
        <w:spacing w:before="240" w:after="100" w:line="240" w:lineRule="auto"/>
        <w:ind w:left="105" w:right="105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AR"/>
        </w:rPr>
      </w:pPr>
      <w:r w:rsidRPr="00BA41C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AR"/>
        </w:rPr>
        <w:t>- Excepciones y situaciones especiales - opción de emisión</w:t>
      </w:r>
    </w:p>
    <w:p w:rsidR="00BA41CD" w:rsidRPr="00BA41CD" w:rsidRDefault="00BA41CD" w:rsidP="00BA41CD">
      <w:pPr>
        <w:spacing w:before="80" w:after="0" w:line="240" w:lineRule="auto"/>
        <w:ind w:left="105" w:right="105" w:firstLine="105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AR"/>
        </w:rPr>
      </w:pPr>
      <w:r w:rsidRPr="00BA41C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AR"/>
        </w:rPr>
        <w:t>Art. 4 - Los responsables no alcanzados por este régimen, podrán emitir comprobantes respaldatorios de las operaciones efectuadas bajo la modalidad electrónica -en la medida que los mismos se ajusten a los términos, condiciones, diseño de datos y validaciones establecidos en la presente-, aún en el caso de las excepciones y situaciones especiales previstas en los artículos 5 y 23 y en los Anexos I y IV, respectivamente, de la resolución general 1415, sus modificatorias y complementarias, y de las excepciones indicadas en el artículo 5 de la resolución general 4290.</w:t>
      </w:r>
    </w:p>
    <w:p w:rsidR="00BA41CD" w:rsidRPr="003C4993" w:rsidRDefault="00BA41CD" w:rsidP="00BA3532">
      <w:pPr>
        <w:pStyle w:val="errepar1erfrancesnovedades"/>
        <w:spacing w:before="80" w:beforeAutospacing="0" w:after="0" w:afterAutospacing="0"/>
        <w:ind w:left="270" w:right="105"/>
        <w:jc w:val="both"/>
        <w:rPr>
          <w:rFonts w:ascii="Verdana" w:hAnsi="Verdana"/>
          <w:color w:val="000000"/>
          <w:sz w:val="20"/>
          <w:szCs w:val="20"/>
        </w:rPr>
      </w:pPr>
    </w:p>
    <w:p w:rsidR="00BA3532" w:rsidRPr="003C4993" w:rsidRDefault="00BA3532" w:rsidP="00BA3532">
      <w:pPr>
        <w:pStyle w:val="errepar1erfrancesnovedades"/>
        <w:spacing w:before="80" w:beforeAutospacing="0" w:after="0" w:afterAutospacing="0"/>
        <w:ind w:left="270" w:right="105"/>
        <w:jc w:val="both"/>
        <w:rPr>
          <w:rFonts w:ascii="Verdana" w:hAnsi="Verdana"/>
          <w:color w:val="000000"/>
          <w:sz w:val="20"/>
          <w:szCs w:val="20"/>
        </w:rPr>
      </w:pPr>
    </w:p>
    <w:p w:rsidR="00BA3532" w:rsidRPr="003C4993" w:rsidRDefault="00BA3532" w:rsidP="00BA3532">
      <w:pPr>
        <w:pStyle w:val="errepar1erfrancesnovedades"/>
        <w:spacing w:before="80" w:beforeAutospacing="0" w:after="0" w:afterAutospacing="0"/>
        <w:ind w:left="270" w:right="105"/>
        <w:jc w:val="both"/>
        <w:rPr>
          <w:rFonts w:ascii="Verdana" w:hAnsi="Verdana"/>
          <w:color w:val="000000"/>
          <w:sz w:val="20"/>
          <w:szCs w:val="20"/>
        </w:rPr>
      </w:pPr>
    </w:p>
    <w:sectPr w:rsidR="00BA3532" w:rsidRPr="003C4993" w:rsidSect="00E70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7F48"/>
    <w:multiLevelType w:val="hybridMultilevel"/>
    <w:tmpl w:val="D632B366"/>
    <w:lvl w:ilvl="0" w:tplc="7D2A46A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50" w:hanging="360"/>
      </w:pPr>
    </w:lvl>
    <w:lvl w:ilvl="2" w:tplc="2C0A001B" w:tentative="1">
      <w:start w:val="1"/>
      <w:numFmt w:val="lowerRoman"/>
      <w:lvlText w:val="%3."/>
      <w:lvlJc w:val="right"/>
      <w:pPr>
        <w:ind w:left="2070" w:hanging="180"/>
      </w:pPr>
    </w:lvl>
    <w:lvl w:ilvl="3" w:tplc="2C0A000F" w:tentative="1">
      <w:start w:val="1"/>
      <w:numFmt w:val="decimal"/>
      <w:lvlText w:val="%4."/>
      <w:lvlJc w:val="left"/>
      <w:pPr>
        <w:ind w:left="2790" w:hanging="360"/>
      </w:pPr>
    </w:lvl>
    <w:lvl w:ilvl="4" w:tplc="2C0A0019" w:tentative="1">
      <w:start w:val="1"/>
      <w:numFmt w:val="lowerLetter"/>
      <w:lvlText w:val="%5."/>
      <w:lvlJc w:val="left"/>
      <w:pPr>
        <w:ind w:left="3510" w:hanging="360"/>
      </w:pPr>
    </w:lvl>
    <w:lvl w:ilvl="5" w:tplc="2C0A001B" w:tentative="1">
      <w:start w:val="1"/>
      <w:numFmt w:val="lowerRoman"/>
      <w:lvlText w:val="%6."/>
      <w:lvlJc w:val="right"/>
      <w:pPr>
        <w:ind w:left="4230" w:hanging="180"/>
      </w:pPr>
    </w:lvl>
    <w:lvl w:ilvl="6" w:tplc="2C0A000F" w:tentative="1">
      <w:start w:val="1"/>
      <w:numFmt w:val="decimal"/>
      <w:lvlText w:val="%7."/>
      <w:lvlJc w:val="left"/>
      <w:pPr>
        <w:ind w:left="4950" w:hanging="360"/>
      </w:pPr>
    </w:lvl>
    <w:lvl w:ilvl="7" w:tplc="2C0A0019" w:tentative="1">
      <w:start w:val="1"/>
      <w:numFmt w:val="lowerLetter"/>
      <w:lvlText w:val="%8."/>
      <w:lvlJc w:val="left"/>
      <w:pPr>
        <w:ind w:left="5670" w:hanging="360"/>
      </w:pPr>
    </w:lvl>
    <w:lvl w:ilvl="8" w:tplc="2C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3E3E"/>
    <w:rsid w:val="00125BED"/>
    <w:rsid w:val="001B3E3E"/>
    <w:rsid w:val="00386A12"/>
    <w:rsid w:val="003C4993"/>
    <w:rsid w:val="0069097E"/>
    <w:rsid w:val="0070016A"/>
    <w:rsid w:val="00AE1D4F"/>
    <w:rsid w:val="00BA3532"/>
    <w:rsid w:val="00BA41CD"/>
    <w:rsid w:val="00C418D7"/>
    <w:rsid w:val="00E7011B"/>
    <w:rsid w:val="00E7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rrepar1erfrancesnovedades">
    <w:name w:val="errepar_1erfrancesnovedades"/>
    <w:basedOn w:val="Normal"/>
    <w:rsid w:val="00BA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hipervnculo">
    <w:name w:val="hipervnculo"/>
    <w:basedOn w:val="Fuentedeprrafopredeter"/>
    <w:rsid w:val="00BA3532"/>
  </w:style>
  <w:style w:type="character" w:customStyle="1" w:styleId="cursivanovedades">
    <w:name w:val="cursivanovedades"/>
    <w:basedOn w:val="Fuentedeprrafopredeter"/>
    <w:rsid w:val="00BA3532"/>
  </w:style>
  <w:style w:type="paragraph" w:customStyle="1" w:styleId="textonovedades">
    <w:name w:val="textonovedades"/>
    <w:basedOn w:val="Normal"/>
    <w:rsid w:val="00BA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sangrianovedades">
    <w:name w:val="sangrianovedades"/>
    <w:basedOn w:val="Normal"/>
    <w:rsid w:val="00BA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errepar2dofrancesnovedades">
    <w:name w:val="errepar_2dofrancesnovedades"/>
    <w:basedOn w:val="Normal"/>
    <w:rsid w:val="00BA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textocentradonegritanovedades">
    <w:name w:val="textocentradonegritanovedades"/>
    <w:basedOn w:val="Normal"/>
    <w:rsid w:val="00BA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egritanovedades">
    <w:name w:val="negritanovedades"/>
    <w:basedOn w:val="Fuentedeprrafopredeter"/>
    <w:rsid w:val="00BA3532"/>
  </w:style>
  <w:style w:type="paragraph" w:customStyle="1" w:styleId="textocentradonovedades">
    <w:name w:val="textocentradonovedades"/>
    <w:basedOn w:val="Normal"/>
    <w:rsid w:val="0070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lgestion.errepar.com/sitios/eolgestion/Legislacion/20110807084729099.docxhtml" TargetMode="External"/><Relationship Id="rId13" Type="http://schemas.openxmlformats.org/officeDocument/2006/relationships/hyperlink" Target="http://eolgestion.errepar.com/sitios/eolgestion/Legislacion/20110807084729099.docx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olgestion.errepar.com/sitios/eolgestion/Legislacion/20110807084735444.docxhtml" TargetMode="External"/><Relationship Id="rId12" Type="http://schemas.openxmlformats.org/officeDocument/2006/relationships/hyperlink" Target="http://eolgestion.errepar.com/sitios/eolgestion/Legislacion/20110807084729099.docx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olgestion.errepar.com/sitios/eolgestion/Legislacion/20180803080045925.docxhtml" TargetMode="External"/><Relationship Id="rId11" Type="http://schemas.openxmlformats.org/officeDocument/2006/relationships/hyperlink" Target="http://eolgestion.errepar.com/sitios/eolgestion/Legislacion/20171201070521321.docxhtml" TargetMode="External"/><Relationship Id="rId5" Type="http://schemas.openxmlformats.org/officeDocument/2006/relationships/hyperlink" Target="http://eolgestion.errepar.com/sitios/eolgestion/Legislacion/20131217074722920.docx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olgestion.errepar.com/sitios/eolgestion/Legislacion/20180803074313856.docx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lgestion.errepar.com/sitios/eolgestion/Legislacion/20110807084729099.docxhtml" TargetMode="External"/><Relationship Id="rId14" Type="http://schemas.openxmlformats.org/officeDocument/2006/relationships/hyperlink" Target="http://eolgestion.errepar.com/sitios/eolgestion/Legislacion/20180803074313856.docx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1590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Tozzini</dc:creator>
  <cp:lastModifiedBy>MARTIN</cp:lastModifiedBy>
  <cp:revision>2</cp:revision>
  <dcterms:created xsi:type="dcterms:W3CDTF">2019-11-08T12:52:00Z</dcterms:created>
  <dcterms:modified xsi:type="dcterms:W3CDTF">2019-11-08T12:52:00Z</dcterms:modified>
</cp:coreProperties>
</file>